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32C2F" w14:textId="28EA3B59" w:rsidR="00550E8C" w:rsidRDefault="00E8266E">
      <w:pPr>
        <w:rPr>
          <w:lang w:val="es-MX"/>
        </w:rPr>
      </w:pPr>
      <w:r>
        <w:rPr>
          <w:lang w:val="es-MX"/>
        </w:rPr>
        <w:t>Reunión 6 de mayo de 2026</w:t>
      </w:r>
    </w:p>
    <w:p w14:paraId="3CF39030" w14:textId="66EF4685" w:rsidR="00E03B64" w:rsidRDefault="00E03B64">
      <w:pPr>
        <w:rPr>
          <w:lang w:val="es-MX"/>
        </w:rPr>
      </w:pPr>
    </w:p>
    <w:p w14:paraId="0471484B" w14:textId="1868D8D2" w:rsidR="00E03B64" w:rsidRDefault="00E03B64">
      <w:pPr>
        <w:rPr>
          <w:lang w:val="es-MX"/>
        </w:rPr>
      </w:pPr>
      <w:r>
        <w:rPr>
          <w:lang w:val="es-MX"/>
        </w:rPr>
        <w:t>Objetivo: Aclarar información plasmada en los planes de acción de los diferentes núcleos del departamento de Arauca on el fin de unificar critwrio frente a los ejes temáticos y las dimensiones a trabajar.</w:t>
      </w:r>
    </w:p>
    <w:p w14:paraId="7E9C9AF2" w14:textId="299664F2" w:rsidR="00E8266E" w:rsidRPr="00E8266E" w:rsidRDefault="00E8266E">
      <w:pPr>
        <w:rPr>
          <w:lang w:val="es-MX"/>
        </w:rPr>
      </w:pPr>
      <w:r>
        <w:rPr>
          <w:noProof/>
        </w:rPr>
        <w:drawing>
          <wp:inline distT="0" distB="0" distL="0" distR="0" wp14:anchorId="09AB5728" wp14:editId="7FA62C44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8266E" w:rsidRPr="00E826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66E"/>
    <w:rsid w:val="00140BF4"/>
    <w:rsid w:val="00550E8C"/>
    <w:rsid w:val="00BA484D"/>
    <w:rsid w:val="00E03B64"/>
    <w:rsid w:val="00E8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49EFC"/>
  <w15:chartTrackingRefBased/>
  <w15:docId w15:val="{6B5E3BA0-9F24-498F-B276-2FE7CE80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198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2026-05-07T00:02:00Z</dcterms:created>
  <dcterms:modified xsi:type="dcterms:W3CDTF">2026-05-07T00:05:00Z</dcterms:modified>
</cp:coreProperties>
</file>